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4" w:right="0" w:hanging="36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4"/>
          <w:szCs w:val="24"/>
          <w:u w:val="none"/>
          <w:shd w:fill="auto" w:val="clear"/>
          <w:vertAlign w:val="baseline"/>
          <w:rtl w:val="0"/>
        </w:rPr>
        <w:t xml:space="preserve">合作伙伴的一般条款和条件</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(GTC)</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范围</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承包商</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接受适用的文件</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签订合同和执行订单</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经销商</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价格、付款和佣金</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交付</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投诉和退款权利</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的产品安全法及其应用</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合同语言</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会员资格</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沟通</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保密和不披露条款</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管辖地和最终条款</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补充文件</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范围</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这些</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针对合作伙伴的一般条款和条件（</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GTC</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适用于公司的合作伙伴（制造商）与</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（以下也称为公司和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或组织和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或社会）之间在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上的所有商业交易。</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在本规定中，合作者是指任何在自己负责下制造产品、将产品投放市场并对制造过程拥有组织权力的产品直接制造商。</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因此，这些规定不是针对经销商、次级经销商或中间商的，因此被排除在这种商业关系之外。</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承包商</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在他同意建立伙伴关系的情况下，合作者同样与所代表的公司签订了具有约束力的合同义务。</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Jaikaski</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，法人：</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Kimberley Sacha-Gaye Walters</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，地址：</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Lissant Road, Kingston CSO, Kingston W. I.</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牙买加，在牙买加公司办公室注册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注册号：</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4131/2021</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TRN</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号码：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122324595/1 - +1876 421-2979</w:t>
      </w:r>
      <w:hyperlink r:id="rId6">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w:t>
        </w:r>
      </w:hyperlink>
      <w:hyperlink r:id="rId7">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k-walters@gliszen.com</w:t>
        </w:r>
      </w:hyperlink>
      <w:hyperlink r:id="rId8">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w:t>
        </w:r>
      </w:hyperlink>
      <w:hyperlink r:id="rId9">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 </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或</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广州恒承科技有限公司，广东省广州市天河区中山大道西路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20/6-8</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号，在广东省政府注册，注册号：</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91440101MA9Y5WUU5G </w:t>
      </w:r>
      <w:hyperlink r:id="rId10">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 </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f-jarrar@gliszen.com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在此，合作方必须区分使用该营销工具所带来的合同义务（</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认为自己是这样的）和代表客户购买所带来的合同义务。</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结果是。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92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一份为期一年的一次性使用协议（见《合作伙伴</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一般使用条款》</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），以及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92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代表客户的每个订单都有一份独特的销售合同。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在任何情况下，合同伙伴都是上面提到的公司。</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接受适用的文件</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通过同意这些一般条款和条件，合作方也同意以下适用文件及其内容的合法性。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A</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部分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面向终端消费者的一般条款和条件（</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GTC</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B</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部分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商业客户（</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B2B</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）的一般条款和条件（</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GTC</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1"/>
          <w:smallCaps w:val="0"/>
          <w:strike w:val="0"/>
          <w:color w:val="00206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一般使用条款</w:t>
      </w:r>
      <w:r w:rsidDel="00000000" w:rsidR="00000000" w:rsidRPr="00000000">
        <w:rPr>
          <w:rtl w:val="0"/>
        </w:rPr>
      </w:r>
    </w:p>
    <w:p w:rsidR="00000000" w:rsidDel="00000000" w:rsidP="00000000" w:rsidRDefault="00000000" w:rsidRPr="00000000" w14:paraId="0000003F">
      <w:pPr>
        <w:rPr>
          <w:sz w:val="22"/>
          <w:szCs w:val="22"/>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格利森行为准则</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(GCC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私人政策和数据安全</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通过接受这些条款和条件，用户特别确认他尊重客户的权利，就像他相信</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会尊重他自己的权利一样。</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签订合同和执行订单</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合作方有义务能够在任何时候交付放在网站上的产品，或保证交付性能，只要他有足够的能力根据他在网站上的信息。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除非另有书面约定，客户在网站上指定产品的有约束力的订单伴随着合作方交付所订物品的同样有约束力的义务。</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随后，合作伙伴和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所代表的客户之间会签订一份购买合同。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该购买合同可以</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B2C</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商业交易的情况下，自动化，或。</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B2B</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商业交易的情况下，通过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PDF</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格式。</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来的。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合作方承诺按照客户在网站上定义的规格提供客户订购的物品。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将为订购的物品启动付款</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见第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物流公司被告知收到订单物品的情况。</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一旦交付给物流公司，订单和合同就被视为已经履行。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客户的保修权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和产品责任</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以及终端客户的撤销权仍然不受</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4.6.</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定义声明中的影响。</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经销商</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的服务之一是与世界各地的自由经销商合作，他们与合作的制造商一样，利用平台的服务来促进我们合作伙伴的产品销售。</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这项服务的条款和条件如下。</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经销商是公司的自由销售伙伴。</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他们独立向该组织下订单，从而成为其合作伙伴。</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经销商在成功销售后可获得佣金。</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佣金的数额是与合作伙伴协调的，考虑到各种标准，如购买价格、目标市场和销售概率，并且是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传达给客户的销售价格的一部分。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这笔佣金是在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扣除所有费用后支付给分销商的。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分销商也应根据本条款第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章和第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章的规定，尊重客户的权利。</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独立原则适用于产品的选择，也就是说，分销商可以从整个产品组合中销售他认为最有销售机会的产品。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对此不会有任何影响。</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禁止任何形式的联系和附带协议，除非组织和合作伙伴之间有</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书面</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协议。</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价格、付款和佣金</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合作方有义务与</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协调销售价格，并考虑到以下方面。</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价格</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对于</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所瞄准的目标市场（南美洲和中美洲以及加勒比群岛、北美洲和非洲），合作伙伴的理想价格必须是现实的。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价格必须有足够的竞争力，以便为销售伙伴，即所谓的分销商，留出足够的空间来支付额外的利润比例。</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佣金的数额是统一的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然而，它可能会根据目标市场和销售的概率而有所不同。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一个活跃在后台的计算算法将合作制造商的价格转换为涵盖这一佣金的最终销售价格。因此，制造商不需要做任何其他事情</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6.1.3.</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 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6.1.4.</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下定义的规定只适用于</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B2C</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交易。</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对于</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B2B</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领域，佣金是单独协商的。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合作伙伴之间商定的价格还必须包括向各地方物流伙伴的运输费用。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为此，最好是估算出一个涵盖中国境内区域交付费用的总价。</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6.1.6.</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 下定义的规定仅指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B2C</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商业交易。</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B2B</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交易的结算中，运输手续的处理与</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B2B</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贸易的规定相类似（见</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B.</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商业客户（</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B2B</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）的一般条款和条件（</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GTC</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单独处理。</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关于第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6.1.6.</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6.1.7</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点中定义的条款的更多信息，见第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交付</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付款和佣金</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B2C</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领域的每份合同缔结后，在订单处理前向合作方付款。</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累积的佣金被保留下来，以便</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能够反过来支付给分销渠道。</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对于</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B2B</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领域的商业交易，适用</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B.</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商业客户（</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B2B</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）的一般条款和条件（</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GTC</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章规定的付款方式。</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公司将通过标准的商业渠道启动付款，如银行转账、信用卡或网站上显示的标准在线支付服务。</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注意</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根据他们的会员身份，一些合作制造商有能力直接与客户和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或分销渠道沟通。在任何情况下，合作制造商都不允许传达高于和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或低于</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公布的零售价格的价格。</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价格必须保持统一</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见第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交付</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利用各种合作物流公司的服务来执行订单。</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向客户及时交付订单物品是保持客户满意度的核心。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因此，我们的合作伙伴和他们的交付业绩在确保这一点上发挥着至关重要的作用。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因此，我们的条款和条件适用如下。</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客户根据合作方申报的货物库存进行采购。因此，他有权利及时交货。</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希望合作方在收到订单后立即开始提供货物，但不迟于下一个日历日的上午。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如果在星期五收到采购订单，公司应批准推迟到下周一发货。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如果在收到订单确认和处理包裹之间货物库存发生变化，导致订单项目不再可用，合作伙伴有义务立即通过内部聊天系统书面通知</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，并说明订单号。</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此外，还要向受委托执行订单的物流公司发送消息。</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成功完成订单后，合作方将货物发送给负责的物流伙伴，由其负责进一步执行订单。</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如果</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注意到第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7.4.</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点中定义的情况更频繁地重复出现，即如果合作方与它在网站上的库存信息相反，多次无法交货，则怀疑合作方有过失行为。</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在这些情况下，公司保留对销售损失和相关的形象损害进行适当赔偿的权利。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进一步的内部制裁，如从平台上开除，由公司决定。</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根据本第七章定义的标准，关于交付性能的规定仅适用于</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B2C</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交易，但第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7.4</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7.6</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点除外。</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B2B</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的运输处理是根据其业务性质单独和按需处理的。这方面的沟通是通过电子邮件进行的，并附上报价和合同手续。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投诉和退款权利</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如果出现以下情况，客户有权要求退款。</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撤单</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客户有权在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天内取消其订单。</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这是一项不可侵犯的国际贸易法律，适用于大多数国家。</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他不需要为此提出任何理由。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然而，为了维护这一权利，他必须自费退回货物。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将始终努力以其他方式满足客户，从而避免退款和相关费用的负担。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注意。</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撤回权只适用于最终客户，即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B2C</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客户。</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保修</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终端客户（</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B2C</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）和商业客户（</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B2B</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）有权获得</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年的保修期。</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这意味着该产品在交付时没有任何缺陷，如果使用得当，将在未来</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年内履行其功能。</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磨损和撕裂不在此规定之列，前提是磨损和撕裂是由于正确使用所致。</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如果交付的产品有缺陷，</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和其合作伙伴有义务修复损坏，提供更换，或降低价格，以更合理的方式为准。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注意。</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保修权适用于最终客户（</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B2C</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）和商业客户（</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B2B</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），保修期仅从交付给客户或其指定的第三方（如果该第三方不是出口商）开始。</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产品责任和损害赔偿要求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制造产品或将其投放市场的人有义务确保这些产品不会产生危险。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在这一背景下，客户应受到保护，以避免生命、身体和健康以及除缺陷物品本身以外的财产受到损害。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注意。</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产品责任法适用于</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B2B</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B2C</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客户，并因地区而异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请参见第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产品安全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关于第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8.1</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点至第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8.3</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点所列主题的应用的进一步信息，请参考本条款和条件的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部分和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部分（见</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A.</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最终用户的一般条款和条件（</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GTC</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和</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B.</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商业客户的一般条款和条件（</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GTC</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如果发生第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8.1</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点至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8.3</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点所述的情况，</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将尽快通知其合作伙伴，以便共同确定应对措施。</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的产品安全法及其应用</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美国消费品安全委员会（</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CPSC</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）的《美国消费品安全改进法案》（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CPSIA</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）以及欧洲议会和理事会的（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EU</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2019/1020</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号条例，这里明确为欧盟委员会关于一般产品安全的第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2001/95/EC</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号条例，是美国和欧盟确保产品安全的法规实例。</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它们代表了有约束力的规定，必须遵守这些规定才能使商品在相关经济领域内流通，并适用于所有各方，无论其营业地点如何。</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它们是对产品责任条款的补充（见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8.3.</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），如果违反了，可以受到高额的处罚。</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我们强烈建议合作伙伴在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上发布产品之前，要注意遵守这些规定，并与</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就遵守或不遵守这些规定进行沟通。</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然后，公司将采取适当的行动，并将这些信息传达给感兴趣的第三方，如分销商，以避免因此而影响市场。</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为此，</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在产品放置区引入了适当的复选框，使制造商能够在这方面传达产品的适当状态。</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如需更多信息，请登录</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regulatory@gliszen.com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合同语言</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作为一家国际化经营的公司，</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一直努力在全球范围内获得客户和合作伙伴。</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然而，我们并不总是能够以所有语言发布所有具有约束力的强制性文件。</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因此，</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只有英文版本</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的一般条款和条件以及所有其他文件</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具有法律约束力</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其他语言仅用于定位目的。</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会员资格</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要申请成为合作商业伙伴（制造商），请发送电子邮件至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manufacturer@gliszen.com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根据其成员身份，合作制造商有不同的权利。</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区分为</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基本成员</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高级会员</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VIP</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会员</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高级会员和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VIP</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会员拥有一些与这些条款和条件相矛盾的权利。</w:t>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本条款的其余条款，与高级会员和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VIP</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会员的使用权不冲突，不受影响。</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请联系</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marketing@gliszen.com</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了解详细的状态信息。</w:t>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沟通</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该公司为其合作伙伴和客户提供了多种沟通方式。</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其中，在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上可以找到各种电子邮件地址，使参与者能够通过电子邮件向相关部门发送与主题有关的询问。</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另一个重要的沟通媒介是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的聊天系统。</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每个账户都有这样一个聊天窗口，通过它可以与</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管理部门建立直接联系，并进一步保证与其他合作伙伴的沟通。</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特别是在业务领域，这种聊天系统代表了一种非常有效的沟通交流方式。</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出于这个原因，我们呼吁所有各方，同样也呼吁所有客户定期检查他们在门户网站上的通知，主要是为了期待对这里没有具体说明的问题的回应。</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保密和不披露条款</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缔约各方同意照顾负责任的合作。</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这尤其适用于向第三方转让信息和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或处理来自对方的信息，如果这方面的信息被人所知。</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这适用于。</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在门户网站上与第三方达成的价格协议，与</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的广告价格相反，因此被归类为商业损害，除非以书面形式明确同意这种行为，或者合作方因其成员身份而有权这样做。</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联系</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的分销渠道，无论是分销商和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或客户本身，除非这种行为得到了明确的书面同意，或者合作方因其成员身份而有权这样做。</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这种违规行为将被视为违反信任，并将导致被立即排除在门户网站之外。</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反之，本组织承诺按照这些规定行事，并尊重其合作伙伴的保密信息。</w:t>
      </w: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管辖地和最终条款</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牙买加岛国的法律应适用于合作伙伴和公司之间的合同关系。</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联合国《国际货物销售合同公约》的适用被排除在外。</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如果这些</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GTC</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的任何条款无效，其余条款的有效性不应因此受到影响。</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双方承诺用尽可能接近无效条款的有效条款取代无效条款。</w: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补充文件</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425"/>
        <w:jc w:val="left"/>
        <w:rPr>
          <w:b w:val="0"/>
          <w:i w:val="1"/>
          <w:smallCaps w:val="0"/>
          <w:strike w:val="0"/>
          <w:color w:val="002060"/>
          <w:sz w:val="22"/>
          <w:szCs w:val="22"/>
          <w:u w:val="single"/>
          <w:shd w:fill="auto" w:val="clear"/>
          <w:vertAlign w:val="baseline"/>
        </w:rPr>
      </w:pP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A</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部分</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 </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面向终端消费者的一般条款和条件（</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GTC </w:t>
      </w: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425"/>
        <w:jc w:val="left"/>
        <w:rPr>
          <w:b w:val="0"/>
          <w:i w:val="1"/>
          <w:smallCaps w:val="0"/>
          <w:strike w:val="0"/>
          <w:color w:val="002060"/>
          <w:sz w:val="22"/>
          <w:szCs w:val="22"/>
          <w:u w:val="single"/>
          <w:shd w:fill="auto" w:val="clear"/>
          <w:vertAlign w:val="baseline"/>
        </w:rPr>
      </w:pP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B</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部分</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 </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商业客户（</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B2B</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）的一般条款和条件（</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GTC</w:t>
      </w: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425"/>
        <w:jc w:val="left"/>
        <w:rPr>
          <w:b w:val="0"/>
          <w:i w:val="1"/>
          <w:smallCaps w:val="0"/>
          <w:strike w:val="0"/>
          <w:color w:val="002060"/>
          <w:sz w:val="22"/>
          <w:szCs w:val="22"/>
          <w:u w:val="single"/>
          <w:shd w:fill="auto" w:val="clear"/>
          <w:vertAlign w:val="baseline"/>
        </w:rPr>
      </w:pP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一般使用条款</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425"/>
        <w:jc w:val="left"/>
        <w:rPr>
          <w:b w:val="0"/>
          <w:i w:val="1"/>
          <w:smallCaps w:val="0"/>
          <w:strike w:val="0"/>
          <w:color w:val="002060"/>
          <w:sz w:val="22"/>
          <w:szCs w:val="22"/>
          <w:u w:val="single"/>
          <w:shd w:fill="auto" w:val="clear"/>
          <w:vertAlign w:val="baseline"/>
        </w:rPr>
      </w:pP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Gliszen</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行为准则（</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GCC</w:t>
      </w: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425"/>
        <w:jc w:val="left"/>
        <w:rPr>
          <w:b w:val="0"/>
          <w:i w:val="1"/>
          <w:smallCaps w:val="0"/>
          <w:strike w:val="0"/>
          <w:color w:val="002060"/>
          <w:sz w:val="22"/>
          <w:szCs w:val="22"/>
          <w:u w:val="single"/>
          <w:shd w:fill="auto" w:val="clear"/>
          <w:vertAlign w:val="baseline"/>
        </w:rPr>
      </w:pP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私人政策和数据安全</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11" w:type="default"/>
      <w:headerReference r:id="rId12" w:type="first"/>
      <w:headerReference r:id="rId13" w:type="even"/>
      <w:footerReference r:id="rId14" w:type="default"/>
      <w:pgSz w:h="16838" w:w="11906" w:orient="portrait"/>
      <w:pgMar w:bottom="1701" w:top="2269" w:left="1418" w:right="1418" w:header="0" w:footer="7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Microsoft Yahe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jc w:val="center"/>
      <w:rPr>
        <w:sz w:val="14"/>
        <w:szCs w:val="14"/>
      </w:rPr>
    </w:pPr>
    <w:r w:rsidDel="00000000" w:rsidR="00000000" w:rsidRPr="00000000">
      <w:rPr>
        <w:rtl w:val="0"/>
      </w:rPr>
      <w:tab/>
    </w:r>
    <w:r w:rsidDel="00000000" w:rsidR="00000000" w:rsidRPr="00000000">
      <w:rPr>
        <w:rtl w:val="0"/>
      </w:rPr>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11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2082800</wp:posOffset>
              </wp:positionH>
              <wp:positionV relativeFrom="paragraph">
                <wp:posOffset>325120</wp:posOffset>
              </wp:positionV>
              <wp:extent cx="1609725" cy="209550"/>
              <wp:effectExtent b="0" l="0" r="0" t="0"/>
              <wp:wrapSquare wrapText="bothSides" distB="45720" distT="45720" distL="114300" distR="114300"/>
              <wp:docPr id="1" name=""/>
              <a:graphic>
                <a:graphicData uri="http://schemas.microsoft.com/office/word/2010/wordprocessingShape">
                  <wps:wsp>
                    <wps:cNvSpPr/>
                    <wps:cNvPr id="2" name="Shape 2"/>
                    <wps:spPr>
                      <a:xfrm>
                        <a:off x="4550663" y="3684750"/>
                        <a:ext cx="1590675" cy="1905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Revision number: 01_0911_2021</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2082800</wp:posOffset>
              </wp:positionH>
              <wp:positionV relativeFrom="paragraph">
                <wp:posOffset>325120</wp:posOffset>
              </wp:positionV>
              <wp:extent cx="1609725" cy="209550"/>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609725" cy="20955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96520</wp:posOffset>
              </wp:positionV>
              <wp:extent cx="2299335" cy="1045165"/>
              <wp:effectExtent b="0" l="0" r="0" t="0"/>
              <wp:wrapSquare wrapText="bothSides" distB="45720" distT="45720" distL="114300" distR="114300"/>
              <wp:docPr id="3" name=""/>
              <a:graphic>
                <a:graphicData uri="http://schemas.microsoft.com/office/word/2010/wordprocessingShape">
                  <wps:wsp>
                    <wps:cNvSpPr/>
                    <wps:cNvPr id="4" name="Shape 4"/>
                    <wps:spPr>
                      <a:xfrm>
                        <a:off x="4205858" y="3270413"/>
                        <a:ext cx="2280285" cy="1019175"/>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Bank of China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Guangdong Branch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Guangzhou Panyu Sub-Branch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SWIFT/BIC Code: BKCHCNBJ400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number: 658775199021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type: CNY / USD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Beneficiary: Guangzhou Gliszen Technology Co., Ltd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96520</wp:posOffset>
              </wp:positionV>
              <wp:extent cx="2299335" cy="1045165"/>
              <wp:effectExtent b="0" l="0" r="0" t="0"/>
              <wp:wrapSquare wrapText="bothSides" distB="45720" distT="45720" distL="114300" distR="114300"/>
              <wp:docPr id="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299335" cy="104516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4267200</wp:posOffset>
              </wp:positionH>
              <wp:positionV relativeFrom="paragraph">
                <wp:posOffset>96520</wp:posOffset>
              </wp:positionV>
              <wp:extent cx="2299335" cy="1085850"/>
              <wp:effectExtent b="0" l="0" r="0" t="0"/>
              <wp:wrapSquare wrapText="bothSides" distB="45720" distT="45720" distL="114300" distR="114300"/>
              <wp:docPr id="2" name=""/>
              <a:graphic>
                <a:graphicData uri="http://schemas.microsoft.com/office/word/2010/wordprocessingShape">
                  <wps:wsp>
                    <wps:cNvSpPr/>
                    <wps:cNvPr id="3" name="Shape 3"/>
                    <wps:spPr>
                      <a:xfrm>
                        <a:off x="4205858" y="3246600"/>
                        <a:ext cx="2280285" cy="10668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t xml:space="preserve">China branch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Guangzhou Gliszen Technology Co., Ltd</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1609, Building 3, No. 288, South Shixing Dadao Road, Shibi Street, Panyu District, Guangzhou City, Guangdong, 511495 China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Registered at the Guangdong</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Provincial Government of P.R. China          Registration no: 91440101MA9Y5WUU5G</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4267200</wp:posOffset>
              </wp:positionH>
              <wp:positionV relativeFrom="paragraph">
                <wp:posOffset>96520</wp:posOffset>
              </wp:positionV>
              <wp:extent cx="2299335" cy="1085850"/>
              <wp:effectExtent b="0" l="0" r="0" t="0"/>
              <wp:wrapSquare wrapText="bothSides" distB="45720" distT="45720" distL="114300" distR="114300"/>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299335" cy="1085850"/>
                      </a:xfrm>
                      <a:prstGeom prst="rect"/>
                      <a:ln/>
                    </pic:spPr>
                  </pic:pic>
                </a:graphicData>
              </a:graphic>
            </wp:anchor>
          </w:drawing>
        </mc:Fallback>
      </mc:AlternateConten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Fonts w:ascii="Arial" w:cs="Arial" w:eastAsia="Arial" w:hAnsi="Arial"/>
        <w:b w:val="0"/>
        <w:i w:val="0"/>
        <w:smallCaps w:val="0"/>
        <w:strike w:val="0"/>
        <w:color w:val="000000"/>
        <w:sz w:val="4"/>
        <w:szCs w:val="4"/>
        <w:u w:val="none"/>
        <w:shd w:fill="auto" w:val="clear"/>
        <w:vertAlign w:val="baseline"/>
      </w:rPr>
      <w:drawing>
        <wp:inline distB="0" distT="0" distL="0" distR="0">
          <wp:extent cx="1737360" cy="1061085"/>
          <wp:effectExtent b="0" l="0" r="0" t="0"/>
          <wp:docPr id="4"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737360" cy="1061085"/>
                  </a:xfrm>
                  <a:prstGeom prst="rect"/>
                  <a:ln/>
                </pic:spPr>
              </pic:pic>
            </a:graphicData>
          </a:graphic>
        </wp:inline>
      </w:drawing>
    </w:r>
    <w:r w:rsidDel="00000000" w:rsidR="00000000" w:rsidRPr="00000000">
      <w:rPr>
        <w:rtl w:val="0"/>
      </w:rPr>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3" style="position:absolute;width:466.0pt;height:382.15pt;rotation:0;z-index:-503316481;mso-position-horizontal-relative:margin;mso-position-horizontal:center;mso-position-vertical-relative:margin;mso-position-vertical:center;" alt="" type="#_x0000_t75">
          <v:imagedata blacklevel="22938f" cropbottom="0f" cropleft="0f" cropright="0f" croptop="0f" gain="19661f" r:id="rId4"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1" style="position:absolute;width:453.4pt;height:319.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2" style="position:absolute;width:453.4pt;height:319.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86" w:hanging="360.0000000000001"/>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2">
    <w:lvl w:ilvl="0">
      <w:start w:val="3"/>
      <w:numFmt w:val="upperLetter"/>
      <w:lvlText w:val="%1."/>
      <w:lvlJc w:val="left"/>
      <w:pPr>
        <w:ind w:left="644" w:hanging="359.9999999999999"/>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3">
    <w:lvl w:ilvl="0">
      <w:start w:val="1"/>
      <w:numFmt w:val="decimal"/>
      <w:lvlText w:val="%1."/>
      <w:lvlJc w:val="left"/>
      <w:pPr>
        <w:ind w:left="720" w:hanging="360"/>
      </w:pPr>
      <w:rPr/>
    </w:lvl>
    <w:lvl w:ilvl="1">
      <w:start w:val="1"/>
      <w:numFmt w:val="upperLetter"/>
      <w:lvlText w:val="%2."/>
      <w:lvlJc w:val="left"/>
      <w:pPr>
        <w:ind w:left="928"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b w:val="1"/>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5">
    <w:lvl w:ilvl="0">
      <w:start w:val="1"/>
      <w:numFmt w:val="upperLetter"/>
      <w:lvlText w:val="%1."/>
      <w:lvlJc w:val="left"/>
      <w:pPr>
        <w:ind w:left="1146" w:hanging="360"/>
      </w:pPr>
      <w:rPr/>
    </w:lvl>
    <w:lvl w:ilvl="1">
      <w:start w:val="1"/>
      <w:numFmt w:val="upperLetter"/>
      <w:lvlText w:val="%2."/>
      <w:lvlJc w:val="left"/>
      <w:pPr>
        <w:ind w:left="786" w:hanging="360.0000000000001"/>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928" w:hanging="360"/>
      </w:pPr>
      <w:rPr>
        <w:rFonts w:ascii="Noto Sans Symbols" w:cs="Noto Sans Symbols" w:eastAsia="Noto Sans Symbols" w:hAnsi="Noto Sans Symbols"/>
      </w:rPr>
    </w:lvl>
    <w:lvl w:ilvl="1">
      <w:start w:val="1"/>
      <w:numFmt w:val="bullet"/>
      <w:lvlText w:val="o"/>
      <w:lvlJc w:val="left"/>
      <w:pPr>
        <w:ind w:left="1648" w:hanging="360"/>
      </w:pPr>
      <w:rPr>
        <w:rFonts w:ascii="Courier New" w:cs="Courier New" w:eastAsia="Courier New" w:hAnsi="Courier New"/>
      </w:rPr>
    </w:lvl>
    <w:lvl w:ilvl="2">
      <w:start w:val="1"/>
      <w:numFmt w:val="bullet"/>
      <w:lvlText w:val="▪"/>
      <w:lvlJc w:val="left"/>
      <w:pPr>
        <w:ind w:left="2368" w:hanging="360"/>
      </w:pPr>
      <w:rPr>
        <w:rFonts w:ascii="Noto Sans Symbols" w:cs="Noto Sans Symbols" w:eastAsia="Noto Sans Symbols" w:hAnsi="Noto Sans Symbols"/>
      </w:rPr>
    </w:lvl>
    <w:lvl w:ilvl="3">
      <w:start w:val="1"/>
      <w:numFmt w:val="bullet"/>
      <w:lvlText w:val="●"/>
      <w:lvlJc w:val="left"/>
      <w:pPr>
        <w:ind w:left="3088" w:hanging="360"/>
      </w:pPr>
      <w:rPr>
        <w:rFonts w:ascii="Noto Sans Symbols" w:cs="Noto Sans Symbols" w:eastAsia="Noto Sans Symbols" w:hAnsi="Noto Sans Symbols"/>
      </w:rPr>
    </w:lvl>
    <w:lvl w:ilvl="4">
      <w:start w:val="1"/>
      <w:numFmt w:val="bullet"/>
      <w:lvlText w:val="o"/>
      <w:lvlJc w:val="left"/>
      <w:pPr>
        <w:ind w:left="3808" w:hanging="360"/>
      </w:pPr>
      <w:rPr>
        <w:rFonts w:ascii="Courier New" w:cs="Courier New" w:eastAsia="Courier New" w:hAnsi="Courier New"/>
      </w:rPr>
    </w:lvl>
    <w:lvl w:ilvl="5">
      <w:start w:val="1"/>
      <w:numFmt w:val="bullet"/>
      <w:lvlText w:val="▪"/>
      <w:lvlJc w:val="left"/>
      <w:pPr>
        <w:ind w:left="4528" w:hanging="360"/>
      </w:pPr>
      <w:rPr>
        <w:rFonts w:ascii="Noto Sans Symbols" w:cs="Noto Sans Symbols" w:eastAsia="Noto Sans Symbols" w:hAnsi="Noto Sans Symbols"/>
      </w:rPr>
    </w:lvl>
    <w:lvl w:ilvl="6">
      <w:start w:val="1"/>
      <w:numFmt w:val="bullet"/>
      <w:lvlText w:val="●"/>
      <w:lvlJc w:val="left"/>
      <w:pPr>
        <w:ind w:left="5248" w:hanging="360"/>
      </w:pPr>
      <w:rPr>
        <w:rFonts w:ascii="Noto Sans Symbols" w:cs="Noto Sans Symbols" w:eastAsia="Noto Sans Symbols" w:hAnsi="Noto Sans Symbols"/>
      </w:rPr>
    </w:lvl>
    <w:lvl w:ilvl="7">
      <w:start w:val="1"/>
      <w:numFmt w:val="bullet"/>
      <w:lvlText w:val="o"/>
      <w:lvlJc w:val="left"/>
      <w:pPr>
        <w:ind w:left="5968" w:hanging="360"/>
      </w:pPr>
      <w:rPr>
        <w:rFonts w:ascii="Courier New" w:cs="Courier New" w:eastAsia="Courier New" w:hAnsi="Courier New"/>
      </w:rPr>
    </w:lvl>
    <w:lvl w:ilvl="8">
      <w:start w:val="1"/>
      <w:numFmt w:val="bullet"/>
      <w:lvlText w:val="▪"/>
      <w:lvlJc w:val="left"/>
      <w:pPr>
        <w:ind w:left="668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f-jarrar@gliszen.com"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walters@gliszen.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k-walters@gliszen.com" TargetMode="External"/><Relationship Id="rId7" Type="http://schemas.openxmlformats.org/officeDocument/2006/relationships/hyperlink" Target="mailto:k-walters@gliszen.com" TargetMode="External"/><Relationship Id="rId8" Type="http://schemas.openxmlformats.org/officeDocument/2006/relationships/hyperlink" Target="mailto:k-walters@glisze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